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EB7C" w14:textId="37E7199C" w:rsidR="00DF7B5B" w:rsidRDefault="00000000" w:rsidP="00AC6C95">
      <w:pPr>
        <w:jc w:val="center"/>
        <w:rPr>
          <w:rFonts w:eastAsiaTheme="minorHAnsi"/>
          <w:b/>
          <w:lang w:eastAsia="en-US"/>
        </w:rPr>
      </w:pPr>
      <w:r>
        <w:rPr>
          <w:rFonts w:eastAsiaTheme="minorHAnsi"/>
          <w:b/>
          <w:lang w:eastAsia="en-US"/>
        </w:rPr>
        <w:t xml:space="preserve">Članak </w:t>
      </w:r>
      <w:r w:rsidR="00AC6C95">
        <w:rPr>
          <w:rFonts w:eastAsiaTheme="minorHAnsi"/>
          <w:b/>
          <w:lang w:eastAsia="en-US"/>
        </w:rPr>
        <w:t>9</w:t>
      </w:r>
      <w:r>
        <w:rPr>
          <w:rFonts w:eastAsiaTheme="minorHAnsi"/>
          <w:b/>
          <w:lang w:eastAsia="en-US"/>
        </w:rPr>
        <w:t>.</w:t>
      </w:r>
    </w:p>
    <w:p w14:paraId="27D0D41B" w14:textId="77777777" w:rsidR="00DF7B5B" w:rsidRDefault="00DF7B5B">
      <w:pPr>
        <w:jc w:val="both"/>
        <w:rPr>
          <w:rFonts w:eastAsiaTheme="minorHAnsi"/>
          <w:b/>
          <w:lang w:eastAsia="en-US"/>
        </w:rPr>
      </w:pPr>
    </w:p>
    <w:p w14:paraId="1165E468" w14:textId="77777777" w:rsidR="00DF7B5B" w:rsidRDefault="00000000">
      <w:pPr>
        <w:jc w:val="center"/>
        <w:rPr>
          <w:rFonts w:eastAsiaTheme="minorHAnsi"/>
          <w:b/>
          <w:lang w:eastAsia="en-US"/>
        </w:rPr>
      </w:pPr>
      <w:r>
        <w:rPr>
          <w:rFonts w:eastAsiaTheme="minorHAnsi"/>
          <w:b/>
          <w:lang w:eastAsia="en-US"/>
        </w:rPr>
        <w:t>OBRAZLOŽENJE POSEBNOG DIJELA FINANCIJSKOG PLANA JAVNE VATROGASNE POSTROJBE GRADA SAMOBORA ZA 2024.GODINU I PROJEKCIJU ZA 2025. I 2026.GODINU</w:t>
      </w:r>
    </w:p>
    <w:p w14:paraId="0CF82008" w14:textId="77777777" w:rsidR="00DF7B5B" w:rsidRDefault="00DF7B5B">
      <w:pPr>
        <w:jc w:val="both"/>
        <w:rPr>
          <w:rFonts w:eastAsiaTheme="minorHAnsi"/>
          <w:b/>
          <w:lang w:eastAsia="en-US"/>
        </w:rPr>
      </w:pPr>
    </w:p>
    <w:p w14:paraId="25F199DE" w14:textId="77777777" w:rsidR="00DF7B5B" w:rsidRDefault="00000000">
      <w:pPr>
        <w:jc w:val="both"/>
        <w:rPr>
          <w:rFonts w:eastAsiaTheme="minorHAnsi"/>
          <w:b/>
          <w:lang w:eastAsia="en-US"/>
        </w:rPr>
      </w:pPr>
      <w:r>
        <w:rPr>
          <w:rFonts w:eastAsiaTheme="minorHAnsi"/>
          <w:b/>
          <w:lang w:eastAsia="en-US"/>
        </w:rPr>
        <w:t>GLAVA 00330  JAVNA VATROGASNA POSTROJBA GRADA SAMOBORA</w:t>
      </w:r>
    </w:p>
    <w:p w14:paraId="40A88DA6" w14:textId="77777777" w:rsidR="00DF7B5B" w:rsidRDefault="00000000">
      <w:pPr>
        <w:jc w:val="both"/>
        <w:rPr>
          <w:rFonts w:eastAsiaTheme="minorHAnsi"/>
          <w:b/>
          <w:lang w:eastAsia="en-US"/>
        </w:rPr>
      </w:pPr>
      <w:r>
        <w:rPr>
          <w:rFonts w:eastAsiaTheme="minorHAnsi"/>
          <w:b/>
          <w:lang w:eastAsia="en-US"/>
        </w:rPr>
        <w:t>Proračunski korisnik 27126 JAVNA VATROGASNA POSTROJBA GRADA SAMOBORA</w:t>
      </w:r>
    </w:p>
    <w:tbl>
      <w:tblPr>
        <w:tblpPr w:leftFromText="180" w:rightFromText="180" w:vertAnchor="text" w:tblpX="-361" w:tblpY="1"/>
        <w:tblOverlap w:val="neve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2516"/>
        <w:gridCol w:w="992"/>
        <w:gridCol w:w="1134"/>
        <w:gridCol w:w="1134"/>
        <w:gridCol w:w="1276"/>
        <w:gridCol w:w="1295"/>
      </w:tblGrid>
      <w:tr w:rsidR="00DF7B5B" w14:paraId="7928E03B" w14:textId="77777777">
        <w:trPr>
          <w:trHeight w:val="276"/>
        </w:trPr>
        <w:tc>
          <w:tcPr>
            <w:tcW w:w="9937" w:type="dxa"/>
            <w:gridSpan w:val="7"/>
            <w:shd w:val="clear" w:color="auto" w:fill="D9D9D9"/>
            <w:noWrap/>
            <w:vAlign w:val="center"/>
          </w:tcPr>
          <w:p w14:paraId="1D4EF565" w14:textId="77777777" w:rsidR="00DF7B5B" w:rsidRDefault="00000000">
            <w:pPr>
              <w:rPr>
                <w:b/>
                <w:bCs/>
                <w:iCs/>
              </w:rPr>
            </w:pPr>
            <w:r>
              <w:rPr>
                <w:b/>
                <w:bCs/>
                <w:iCs/>
              </w:rPr>
              <w:t>Program:  ZAŠTITA OD POŽARA I CIVILNA ZAŠTITA</w:t>
            </w:r>
          </w:p>
        </w:tc>
      </w:tr>
      <w:tr w:rsidR="00DF7B5B" w14:paraId="18399C1B" w14:textId="77777777">
        <w:trPr>
          <w:trHeight w:val="1333"/>
        </w:trPr>
        <w:tc>
          <w:tcPr>
            <w:tcW w:w="9937" w:type="dxa"/>
            <w:gridSpan w:val="7"/>
            <w:shd w:val="clear" w:color="auto" w:fill="auto"/>
            <w:noWrap/>
            <w:vAlign w:val="center"/>
          </w:tcPr>
          <w:p w14:paraId="302F2EA5" w14:textId="77777777" w:rsidR="00DF7B5B" w:rsidRDefault="00000000">
            <w:pPr>
              <w:rPr>
                <w:sz w:val="20"/>
                <w:szCs w:val="20"/>
              </w:rPr>
            </w:pPr>
            <w:r>
              <w:rPr>
                <w:sz w:val="20"/>
                <w:szCs w:val="20"/>
              </w:rPr>
              <w:t>Zakonske i druge pravne osnove programa:</w:t>
            </w:r>
          </w:p>
          <w:p w14:paraId="1D1D497C" w14:textId="77777777" w:rsidR="00DF7B5B" w:rsidRDefault="00000000">
            <w:pPr>
              <w:pStyle w:val="Odlomakpopisa"/>
              <w:numPr>
                <w:ilvl w:val="0"/>
                <w:numId w:val="1"/>
              </w:numPr>
              <w:rPr>
                <w:sz w:val="20"/>
                <w:szCs w:val="20"/>
              </w:rPr>
            </w:pPr>
            <w:r>
              <w:rPr>
                <w:sz w:val="20"/>
                <w:szCs w:val="20"/>
              </w:rPr>
              <w:t>Zakon o vatrogastvu (NN 125/2019 i 114/22),</w:t>
            </w:r>
          </w:p>
          <w:p w14:paraId="0798CFD9" w14:textId="77777777" w:rsidR="00DF7B5B" w:rsidRDefault="00000000">
            <w:pPr>
              <w:pStyle w:val="Odlomakpopisa"/>
              <w:numPr>
                <w:ilvl w:val="0"/>
                <w:numId w:val="1"/>
              </w:numPr>
              <w:rPr>
                <w:sz w:val="20"/>
                <w:szCs w:val="20"/>
              </w:rPr>
            </w:pPr>
            <w:r>
              <w:rPr>
                <w:sz w:val="20"/>
                <w:szCs w:val="20"/>
              </w:rPr>
              <w:t>Zakon o zaštiti od požara (NN 92/10),</w:t>
            </w:r>
          </w:p>
          <w:p w14:paraId="0C6A7B59" w14:textId="77777777" w:rsidR="00DF7B5B" w:rsidRDefault="00000000">
            <w:pPr>
              <w:pStyle w:val="Odlomakpopisa"/>
              <w:numPr>
                <w:ilvl w:val="0"/>
                <w:numId w:val="1"/>
              </w:numPr>
              <w:rPr>
                <w:sz w:val="20"/>
                <w:szCs w:val="20"/>
              </w:rPr>
            </w:pPr>
            <w:r>
              <w:rPr>
                <w:sz w:val="20"/>
                <w:szCs w:val="20"/>
              </w:rPr>
              <w:t>Zakon o ustanovama (NN 76/93, 29/97, 47/99, 35/08 i 127/19),</w:t>
            </w:r>
          </w:p>
          <w:p w14:paraId="6C0AABB1" w14:textId="77777777" w:rsidR="00DF7B5B" w:rsidRDefault="00000000">
            <w:pPr>
              <w:pStyle w:val="Odlomakpopisa"/>
              <w:numPr>
                <w:ilvl w:val="0"/>
                <w:numId w:val="1"/>
              </w:numPr>
              <w:rPr>
                <w:sz w:val="20"/>
                <w:szCs w:val="20"/>
              </w:rPr>
            </w:pPr>
            <w:r>
              <w:rPr>
                <w:sz w:val="20"/>
                <w:szCs w:val="20"/>
              </w:rPr>
              <w:t>Pravilnik o stavljanju osobne zaštitne opreme na tržište (NN 89/10),</w:t>
            </w:r>
          </w:p>
          <w:p w14:paraId="7069A580" w14:textId="77777777" w:rsidR="00DF7B5B" w:rsidRDefault="00000000">
            <w:pPr>
              <w:pStyle w:val="Odlomakpopisa"/>
              <w:numPr>
                <w:ilvl w:val="0"/>
                <w:numId w:val="1"/>
              </w:numPr>
              <w:rPr>
                <w:sz w:val="20"/>
                <w:szCs w:val="20"/>
              </w:rPr>
            </w:pPr>
            <w:r>
              <w:rPr>
                <w:sz w:val="20"/>
                <w:szCs w:val="20"/>
              </w:rPr>
              <w:t>Pravilnik o minimumu tehničke opreme i sredstava vatrogasnih postrojbi (NN 43/95 i 91/02),</w:t>
            </w:r>
          </w:p>
          <w:p w14:paraId="062668DE" w14:textId="77777777" w:rsidR="00DF7B5B" w:rsidRDefault="00000000">
            <w:pPr>
              <w:pStyle w:val="Odlomakpopisa"/>
              <w:numPr>
                <w:ilvl w:val="0"/>
                <w:numId w:val="1"/>
              </w:numPr>
              <w:rPr>
                <w:sz w:val="20"/>
                <w:szCs w:val="20"/>
              </w:rPr>
            </w:pPr>
            <w:r>
              <w:rPr>
                <w:sz w:val="20"/>
                <w:szCs w:val="20"/>
              </w:rPr>
              <w:t>Pravilnik o tehničkim zahtjevima za zaštitnu i drugu osobnu opremu koju pripadnici vatrogasnih postrojbi koriste prilikom vatrogasne intervencije (NN 31/11).</w:t>
            </w:r>
          </w:p>
          <w:p w14:paraId="0A91C7FF" w14:textId="77777777" w:rsidR="007F0C3A" w:rsidRDefault="007F0C3A" w:rsidP="007F0C3A">
            <w:pPr>
              <w:pStyle w:val="Odlomakpopisa"/>
              <w:numPr>
                <w:ilvl w:val="0"/>
                <w:numId w:val="1"/>
              </w:numPr>
              <w:rPr>
                <w:sz w:val="20"/>
                <w:szCs w:val="20"/>
              </w:rPr>
            </w:pPr>
            <w:r>
              <w:rPr>
                <w:sz w:val="20"/>
                <w:szCs w:val="20"/>
              </w:rPr>
              <w:t>Pravilnik o klasifikaciji radnih mjesta profesionalnih vatrogasaca, mjerilima za njihovo utvrđivanje i koeficijentima složenosti poslova (NN46/23)</w:t>
            </w:r>
          </w:p>
          <w:p w14:paraId="15B22FB8" w14:textId="77777777" w:rsidR="007F0C3A" w:rsidRDefault="007F0C3A" w:rsidP="007F0C3A">
            <w:pPr>
              <w:pStyle w:val="Odlomakpopisa"/>
              <w:numPr>
                <w:ilvl w:val="0"/>
                <w:numId w:val="1"/>
              </w:numPr>
              <w:rPr>
                <w:sz w:val="20"/>
                <w:szCs w:val="20"/>
              </w:rPr>
            </w:pPr>
            <w:r>
              <w:rPr>
                <w:sz w:val="20"/>
                <w:szCs w:val="20"/>
              </w:rPr>
              <w:t>Procjena ugroženosti od požara i tehnološke eksplozije na području grada Samobora (Službene vijesti grada Samobora 9/14</w:t>
            </w:r>
          </w:p>
          <w:p w14:paraId="1FFF179D" w14:textId="6FDD7484" w:rsidR="007F0C3A" w:rsidRDefault="007F0C3A" w:rsidP="007F0C3A">
            <w:pPr>
              <w:pStyle w:val="Odlomakpopisa"/>
              <w:numPr>
                <w:ilvl w:val="0"/>
                <w:numId w:val="1"/>
              </w:numPr>
              <w:rPr>
                <w:sz w:val="20"/>
                <w:szCs w:val="20"/>
              </w:rPr>
            </w:pPr>
            <w:r>
              <w:rPr>
                <w:sz w:val="20"/>
                <w:szCs w:val="20"/>
              </w:rPr>
              <w:t>Plan zaštite od požara grada Samobora (Službene vijesti grada Samobora 2/15)</w:t>
            </w:r>
          </w:p>
        </w:tc>
      </w:tr>
      <w:tr w:rsidR="00DF7B5B" w14:paraId="366A6FD6" w14:textId="77777777">
        <w:trPr>
          <w:trHeight w:val="721"/>
        </w:trPr>
        <w:tc>
          <w:tcPr>
            <w:tcW w:w="9937" w:type="dxa"/>
            <w:gridSpan w:val="7"/>
            <w:shd w:val="clear" w:color="auto" w:fill="auto"/>
            <w:vAlign w:val="center"/>
          </w:tcPr>
          <w:p w14:paraId="752688E1" w14:textId="77777777" w:rsidR="00DF7B5B" w:rsidRDefault="00000000">
            <w:pPr>
              <w:rPr>
                <w:b/>
                <w:bCs/>
                <w:i/>
                <w:iCs/>
                <w:sz w:val="20"/>
                <w:szCs w:val="20"/>
              </w:rPr>
            </w:pPr>
            <w:r>
              <w:rPr>
                <w:b/>
                <w:bCs/>
                <w:sz w:val="20"/>
                <w:szCs w:val="20"/>
              </w:rPr>
              <w:t xml:space="preserve">Razvojna mjera </w:t>
            </w:r>
            <w:r>
              <w:rPr>
                <w:i/>
                <w:iCs/>
                <w:sz w:val="20"/>
                <w:szCs w:val="20"/>
              </w:rPr>
              <w:t>(poveznica sa strateškim okvirom Provedbenog programa Grada Samobora za razdoblje 2024. – 2026.):</w:t>
            </w:r>
          </w:p>
          <w:p w14:paraId="625E0E1B" w14:textId="77777777" w:rsidR="00DF7B5B" w:rsidRDefault="00000000">
            <w:pPr>
              <w:rPr>
                <w:i/>
                <w:iCs/>
              </w:rPr>
            </w:pPr>
            <w:r>
              <w:rPr>
                <w:i/>
                <w:iCs/>
                <w:sz w:val="20"/>
                <w:szCs w:val="20"/>
              </w:rPr>
              <w:t>10. Protupožarna i civilna zaštita</w:t>
            </w:r>
          </w:p>
          <w:p w14:paraId="4D501114" w14:textId="77777777" w:rsidR="00DF7B5B" w:rsidRDefault="00DF7B5B"/>
          <w:p w14:paraId="13ABFBFE" w14:textId="77777777" w:rsidR="00DF7B5B" w:rsidRDefault="00000000">
            <w:pPr>
              <w:rPr>
                <w:b/>
                <w:bCs/>
                <w:sz w:val="20"/>
                <w:szCs w:val="20"/>
              </w:rPr>
            </w:pPr>
            <w:r>
              <w:rPr>
                <w:b/>
                <w:bCs/>
                <w:sz w:val="20"/>
                <w:szCs w:val="20"/>
              </w:rPr>
              <w:t>Pokazatelji rezultata:</w:t>
            </w:r>
          </w:p>
          <w:p w14:paraId="47EEFCF0" w14:textId="77777777" w:rsidR="00DF7B5B" w:rsidRDefault="00000000">
            <w:pPr>
              <w:jc w:val="both"/>
              <w:rPr>
                <w:bCs/>
                <w:sz w:val="20"/>
                <w:szCs w:val="20"/>
              </w:rPr>
            </w:pPr>
            <w:r>
              <w:rPr>
                <w:sz w:val="20"/>
                <w:szCs w:val="20"/>
              </w:rPr>
              <w:t>Sukladno Prilogu 1. Provedbenog programa Grada Samobora za razdoblje 2024. – 2026.</w:t>
            </w:r>
          </w:p>
        </w:tc>
      </w:tr>
      <w:tr w:rsidR="00DF7B5B" w14:paraId="404894ED" w14:textId="77777777">
        <w:trPr>
          <w:trHeight w:val="312"/>
        </w:trPr>
        <w:tc>
          <w:tcPr>
            <w:tcW w:w="9937" w:type="dxa"/>
            <w:gridSpan w:val="7"/>
            <w:shd w:val="clear" w:color="auto" w:fill="F2F2F2"/>
            <w:vAlign w:val="center"/>
          </w:tcPr>
          <w:p w14:paraId="2C5126C1" w14:textId="77777777" w:rsidR="00DF7B5B" w:rsidRDefault="00000000">
            <w:pPr>
              <w:rPr>
                <w:b/>
                <w:bCs/>
                <w:sz w:val="20"/>
                <w:szCs w:val="20"/>
              </w:rPr>
            </w:pPr>
            <w:r>
              <w:rPr>
                <w:b/>
                <w:bCs/>
                <w:sz w:val="20"/>
                <w:szCs w:val="20"/>
              </w:rPr>
              <w:t xml:space="preserve">Naziv aktivnosti/projekta u Proračunu: </w:t>
            </w:r>
            <w:r>
              <w:rPr>
                <w:b/>
                <w:sz w:val="20"/>
                <w:szCs w:val="20"/>
              </w:rPr>
              <w:t>RASHODI ZA ZAPOSLENE</w:t>
            </w:r>
          </w:p>
        </w:tc>
      </w:tr>
      <w:tr w:rsidR="00DF7B5B" w14:paraId="582AD200" w14:textId="77777777">
        <w:trPr>
          <w:trHeight w:val="261"/>
        </w:trPr>
        <w:tc>
          <w:tcPr>
            <w:tcW w:w="6232" w:type="dxa"/>
            <w:gridSpan w:val="4"/>
            <w:vMerge w:val="restart"/>
            <w:shd w:val="clear" w:color="auto" w:fill="auto"/>
            <w:vAlign w:val="center"/>
          </w:tcPr>
          <w:p w14:paraId="3B8627A2" w14:textId="77777777" w:rsidR="00DF7B5B" w:rsidRDefault="00000000">
            <w:pPr>
              <w:jc w:val="center"/>
              <w:rPr>
                <w:sz w:val="20"/>
                <w:szCs w:val="20"/>
              </w:rPr>
            </w:pPr>
            <w:r>
              <w:rPr>
                <w:sz w:val="20"/>
                <w:szCs w:val="20"/>
              </w:rPr>
              <w:t>Obrazloženje aktivnosti/projekta</w:t>
            </w:r>
          </w:p>
        </w:tc>
        <w:tc>
          <w:tcPr>
            <w:tcW w:w="3705" w:type="dxa"/>
            <w:gridSpan w:val="3"/>
            <w:shd w:val="clear" w:color="auto" w:fill="auto"/>
            <w:noWrap/>
            <w:vAlign w:val="center"/>
          </w:tcPr>
          <w:p w14:paraId="24AB3C08" w14:textId="77777777" w:rsidR="00DF7B5B" w:rsidRDefault="00000000">
            <w:pPr>
              <w:jc w:val="center"/>
              <w:rPr>
                <w:sz w:val="20"/>
                <w:szCs w:val="20"/>
              </w:rPr>
            </w:pPr>
            <w:r>
              <w:rPr>
                <w:sz w:val="20"/>
                <w:szCs w:val="20"/>
              </w:rPr>
              <w:t>Planirana sredstva</w:t>
            </w:r>
          </w:p>
        </w:tc>
      </w:tr>
      <w:tr w:rsidR="00DF7B5B" w14:paraId="3F57C64A" w14:textId="77777777">
        <w:trPr>
          <w:trHeight w:val="215"/>
        </w:trPr>
        <w:tc>
          <w:tcPr>
            <w:tcW w:w="6232" w:type="dxa"/>
            <w:gridSpan w:val="4"/>
            <w:vMerge/>
            <w:vAlign w:val="center"/>
          </w:tcPr>
          <w:p w14:paraId="7DC734B2" w14:textId="77777777" w:rsidR="00DF7B5B" w:rsidRDefault="00DF7B5B">
            <w:pPr>
              <w:rPr>
                <w:sz w:val="20"/>
                <w:szCs w:val="20"/>
              </w:rPr>
            </w:pPr>
          </w:p>
        </w:tc>
        <w:tc>
          <w:tcPr>
            <w:tcW w:w="1134" w:type="dxa"/>
            <w:shd w:val="clear" w:color="auto" w:fill="auto"/>
            <w:noWrap/>
            <w:vAlign w:val="bottom"/>
          </w:tcPr>
          <w:p w14:paraId="5E3D83AD" w14:textId="77777777" w:rsidR="00DF7B5B" w:rsidRDefault="00000000">
            <w:pPr>
              <w:jc w:val="center"/>
              <w:rPr>
                <w:sz w:val="20"/>
                <w:szCs w:val="20"/>
              </w:rPr>
            </w:pPr>
            <w:r>
              <w:rPr>
                <w:sz w:val="20"/>
                <w:szCs w:val="20"/>
              </w:rPr>
              <w:t>2024.</w:t>
            </w:r>
          </w:p>
        </w:tc>
        <w:tc>
          <w:tcPr>
            <w:tcW w:w="1276" w:type="dxa"/>
            <w:shd w:val="clear" w:color="auto" w:fill="auto"/>
            <w:noWrap/>
            <w:vAlign w:val="bottom"/>
          </w:tcPr>
          <w:p w14:paraId="78F17D27" w14:textId="77777777" w:rsidR="00DF7B5B" w:rsidRDefault="00000000">
            <w:pPr>
              <w:jc w:val="center"/>
              <w:rPr>
                <w:sz w:val="20"/>
                <w:szCs w:val="20"/>
              </w:rPr>
            </w:pPr>
            <w:r>
              <w:rPr>
                <w:sz w:val="20"/>
                <w:szCs w:val="20"/>
              </w:rPr>
              <w:t>2025.</w:t>
            </w:r>
          </w:p>
        </w:tc>
        <w:tc>
          <w:tcPr>
            <w:tcW w:w="1295" w:type="dxa"/>
            <w:shd w:val="clear" w:color="auto" w:fill="auto"/>
            <w:noWrap/>
            <w:vAlign w:val="bottom"/>
          </w:tcPr>
          <w:p w14:paraId="635B444A" w14:textId="77777777" w:rsidR="00DF7B5B" w:rsidRDefault="00000000">
            <w:pPr>
              <w:jc w:val="center"/>
              <w:rPr>
                <w:sz w:val="20"/>
                <w:szCs w:val="20"/>
              </w:rPr>
            </w:pPr>
            <w:r>
              <w:rPr>
                <w:sz w:val="20"/>
                <w:szCs w:val="20"/>
              </w:rPr>
              <w:t>2026.</w:t>
            </w:r>
          </w:p>
        </w:tc>
      </w:tr>
      <w:tr w:rsidR="00DF7B5B" w14:paraId="002A665D" w14:textId="77777777">
        <w:trPr>
          <w:trHeight w:val="1699"/>
        </w:trPr>
        <w:tc>
          <w:tcPr>
            <w:tcW w:w="6232" w:type="dxa"/>
            <w:gridSpan w:val="4"/>
            <w:shd w:val="clear" w:color="auto" w:fill="auto"/>
            <w:noWrap/>
            <w:vAlign w:val="center"/>
          </w:tcPr>
          <w:p w14:paraId="255EE4F1" w14:textId="77777777" w:rsidR="00DF7B5B" w:rsidRDefault="00000000">
            <w:pPr>
              <w:keepNext/>
              <w:jc w:val="both"/>
              <w:outlineLvl w:val="6"/>
              <w:rPr>
                <w:bCs/>
                <w:sz w:val="20"/>
                <w:szCs w:val="20"/>
              </w:rPr>
            </w:pPr>
            <w:r>
              <w:rPr>
                <w:bCs/>
                <w:sz w:val="20"/>
                <w:szCs w:val="20"/>
              </w:rPr>
              <w:t>Rashodi za zaposlene odnose se na bruto plaće i ostale rashode za zaposlenike Javne vatrogasne postrojbe, a isplaćuju se u cilju očuvanja kvalitetnog vatrogasnog kadra za izvršavanje poslova i aktivnosti vatrogasne djelatnosti. Sredstva za rad osigurana su kroz bilancirana sredstva temeljem preuzetih decentraliziranih funkcija vatrogastva te iz izvora općih prihoda Grada. Ishodište za izračun je na temelju  (26), uz osnovicu 550 eura i uz predviđeno uvećanje za 0,5% po godini staža te s predviđenim zapošljavanjem jednog djelatnika.</w:t>
            </w:r>
          </w:p>
        </w:tc>
        <w:tc>
          <w:tcPr>
            <w:tcW w:w="1134" w:type="dxa"/>
            <w:shd w:val="clear" w:color="auto" w:fill="auto"/>
            <w:noWrap/>
            <w:vAlign w:val="center"/>
          </w:tcPr>
          <w:p w14:paraId="4481C625" w14:textId="77777777" w:rsidR="00DF7B5B" w:rsidRDefault="00000000">
            <w:pPr>
              <w:jc w:val="right"/>
              <w:rPr>
                <w:b/>
                <w:sz w:val="20"/>
                <w:szCs w:val="20"/>
              </w:rPr>
            </w:pPr>
            <w:r>
              <w:rPr>
                <w:b/>
                <w:sz w:val="20"/>
                <w:szCs w:val="20"/>
              </w:rPr>
              <w:t>1.102.550</w:t>
            </w:r>
          </w:p>
        </w:tc>
        <w:tc>
          <w:tcPr>
            <w:tcW w:w="1276" w:type="dxa"/>
            <w:shd w:val="clear" w:color="auto" w:fill="auto"/>
            <w:noWrap/>
            <w:vAlign w:val="center"/>
          </w:tcPr>
          <w:p w14:paraId="419B560E" w14:textId="77777777" w:rsidR="00DF7B5B" w:rsidRDefault="00000000">
            <w:pPr>
              <w:jc w:val="right"/>
              <w:rPr>
                <w:b/>
                <w:sz w:val="20"/>
                <w:szCs w:val="20"/>
              </w:rPr>
            </w:pPr>
            <w:r>
              <w:rPr>
                <w:b/>
                <w:sz w:val="20"/>
                <w:szCs w:val="20"/>
              </w:rPr>
              <w:t>1.105.084</w:t>
            </w:r>
          </w:p>
        </w:tc>
        <w:tc>
          <w:tcPr>
            <w:tcW w:w="1295" w:type="dxa"/>
            <w:shd w:val="clear" w:color="auto" w:fill="auto"/>
            <w:noWrap/>
            <w:vAlign w:val="center"/>
          </w:tcPr>
          <w:p w14:paraId="7F411E0A" w14:textId="77777777" w:rsidR="00DF7B5B" w:rsidRDefault="00000000">
            <w:pPr>
              <w:jc w:val="right"/>
              <w:rPr>
                <w:b/>
                <w:sz w:val="20"/>
                <w:szCs w:val="20"/>
              </w:rPr>
            </w:pPr>
            <w:r>
              <w:rPr>
                <w:b/>
                <w:sz w:val="20"/>
                <w:szCs w:val="20"/>
              </w:rPr>
              <w:t>1.107.631</w:t>
            </w:r>
          </w:p>
        </w:tc>
      </w:tr>
      <w:tr w:rsidR="00DF7B5B" w14:paraId="3406E7B8" w14:textId="77777777">
        <w:trPr>
          <w:trHeight w:val="397"/>
        </w:trPr>
        <w:tc>
          <w:tcPr>
            <w:tcW w:w="1590" w:type="dxa"/>
            <w:shd w:val="clear" w:color="auto" w:fill="auto"/>
            <w:noWrap/>
            <w:vAlign w:val="center"/>
          </w:tcPr>
          <w:p w14:paraId="75A5B3A8" w14:textId="77777777" w:rsidR="00DF7B5B" w:rsidRDefault="00000000">
            <w:pPr>
              <w:keepNext/>
              <w:outlineLvl w:val="6"/>
              <w:rPr>
                <w:bCs/>
                <w:sz w:val="20"/>
                <w:szCs w:val="20"/>
              </w:rPr>
            </w:pPr>
            <w:bookmarkStart w:id="0" w:name="_Hlk114556594"/>
            <w:r>
              <w:rPr>
                <w:rFonts w:eastAsia="Calibri"/>
                <w:b/>
                <w:bCs/>
                <w:sz w:val="20"/>
                <w:szCs w:val="20"/>
              </w:rPr>
              <w:t>Pokazatelj uspješnosti</w:t>
            </w:r>
          </w:p>
        </w:tc>
        <w:tc>
          <w:tcPr>
            <w:tcW w:w="2516" w:type="dxa"/>
            <w:shd w:val="clear" w:color="auto" w:fill="auto"/>
            <w:vAlign w:val="center"/>
          </w:tcPr>
          <w:p w14:paraId="70EA24DF" w14:textId="77777777" w:rsidR="00DF7B5B" w:rsidRDefault="00000000">
            <w:pPr>
              <w:rPr>
                <w:bCs/>
                <w:sz w:val="20"/>
                <w:szCs w:val="20"/>
              </w:rPr>
            </w:pPr>
            <w:r>
              <w:rPr>
                <w:rFonts w:eastAsia="Calibri"/>
                <w:b/>
                <w:bCs/>
                <w:sz w:val="20"/>
                <w:szCs w:val="20"/>
              </w:rPr>
              <w:t>Definicija</w:t>
            </w:r>
          </w:p>
        </w:tc>
        <w:tc>
          <w:tcPr>
            <w:tcW w:w="992" w:type="dxa"/>
            <w:shd w:val="clear" w:color="auto" w:fill="auto"/>
            <w:vAlign w:val="center"/>
          </w:tcPr>
          <w:p w14:paraId="61957C5D" w14:textId="77777777" w:rsidR="00DF7B5B" w:rsidRDefault="00000000">
            <w:pPr>
              <w:keepNext/>
              <w:jc w:val="center"/>
              <w:outlineLvl w:val="6"/>
              <w:rPr>
                <w:bCs/>
                <w:sz w:val="20"/>
                <w:szCs w:val="20"/>
              </w:rPr>
            </w:pPr>
            <w:r>
              <w:rPr>
                <w:b/>
                <w:bCs/>
                <w:sz w:val="20"/>
                <w:szCs w:val="20"/>
              </w:rPr>
              <w:t>Jedinica</w:t>
            </w:r>
          </w:p>
        </w:tc>
        <w:tc>
          <w:tcPr>
            <w:tcW w:w="1134" w:type="dxa"/>
            <w:shd w:val="clear" w:color="auto" w:fill="auto"/>
            <w:vAlign w:val="center"/>
          </w:tcPr>
          <w:p w14:paraId="3ED0F7A4" w14:textId="77777777" w:rsidR="00DF7B5B" w:rsidRDefault="00000000">
            <w:pPr>
              <w:keepNext/>
              <w:jc w:val="center"/>
              <w:outlineLvl w:val="6"/>
              <w:rPr>
                <w:rFonts w:eastAsia="Calibri"/>
                <w:b/>
                <w:bCs/>
                <w:sz w:val="20"/>
                <w:szCs w:val="20"/>
              </w:rPr>
            </w:pPr>
            <w:r>
              <w:rPr>
                <w:rFonts w:eastAsia="Calibri"/>
                <w:b/>
                <w:bCs/>
                <w:sz w:val="20"/>
                <w:szCs w:val="20"/>
              </w:rPr>
              <w:t>Polazna vrijednost 2023.</w:t>
            </w:r>
          </w:p>
        </w:tc>
        <w:tc>
          <w:tcPr>
            <w:tcW w:w="1134" w:type="dxa"/>
            <w:shd w:val="clear" w:color="auto" w:fill="auto"/>
            <w:noWrap/>
            <w:vAlign w:val="center"/>
          </w:tcPr>
          <w:p w14:paraId="71B93215" w14:textId="77777777" w:rsidR="00DF7B5B" w:rsidRDefault="00000000">
            <w:pPr>
              <w:keepNext/>
              <w:jc w:val="center"/>
              <w:outlineLvl w:val="6"/>
              <w:rPr>
                <w:rFonts w:eastAsia="Calibri"/>
                <w:b/>
                <w:bCs/>
                <w:sz w:val="20"/>
                <w:szCs w:val="20"/>
              </w:rPr>
            </w:pPr>
            <w:r>
              <w:rPr>
                <w:rFonts w:eastAsia="Calibri"/>
                <w:b/>
                <w:bCs/>
                <w:sz w:val="20"/>
                <w:szCs w:val="20"/>
              </w:rPr>
              <w:t>Ciljana vrijednost 2024.</w:t>
            </w:r>
          </w:p>
        </w:tc>
        <w:tc>
          <w:tcPr>
            <w:tcW w:w="1276" w:type="dxa"/>
            <w:shd w:val="clear" w:color="auto" w:fill="auto"/>
            <w:noWrap/>
            <w:vAlign w:val="center"/>
          </w:tcPr>
          <w:p w14:paraId="68C331DC" w14:textId="77777777" w:rsidR="00DF7B5B" w:rsidRDefault="00000000">
            <w:pPr>
              <w:keepNext/>
              <w:jc w:val="center"/>
              <w:outlineLvl w:val="6"/>
              <w:rPr>
                <w:b/>
                <w:sz w:val="20"/>
                <w:szCs w:val="20"/>
              </w:rPr>
            </w:pPr>
            <w:r>
              <w:rPr>
                <w:rFonts w:eastAsia="Calibri"/>
                <w:b/>
                <w:bCs/>
                <w:sz w:val="20"/>
                <w:szCs w:val="20"/>
              </w:rPr>
              <w:t>Ciljana vrijednost 2025.</w:t>
            </w:r>
          </w:p>
        </w:tc>
        <w:tc>
          <w:tcPr>
            <w:tcW w:w="1295" w:type="dxa"/>
            <w:shd w:val="clear" w:color="auto" w:fill="auto"/>
            <w:noWrap/>
            <w:vAlign w:val="center"/>
          </w:tcPr>
          <w:p w14:paraId="235CA3DC" w14:textId="77777777" w:rsidR="00DF7B5B" w:rsidRDefault="00000000">
            <w:pPr>
              <w:keepNext/>
              <w:jc w:val="center"/>
              <w:outlineLvl w:val="6"/>
              <w:rPr>
                <w:b/>
                <w:sz w:val="20"/>
                <w:szCs w:val="20"/>
              </w:rPr>
            </w:pPr>
            <w:r>
              <w:rPr>
                <w:rFonts w:eastAsia="Calibri"/>
                <w:b/>
                <w:bCs/>
                <w:sz w:val="20"/>
                <w:szCs w:val="20"/>
              </w:rPr>
              <w:t>Ciljana vrijednost 2026.</w:t>
            </w:r>
          </w:p>
        </w:tc>
      </w:tr>
      <w:bookmarkEnd w:id="0"/>
      <w:tr w:rsidR="00DF7B5B" w14:paraId="469EF238" w14:textId="77777777">
        <w:trPr>
          <w:trHeight w:val="562"/>
        </w:trPr>
        <w:tc>
          <w:tcPr>
            <w:tcW w:w="1590" w:type="dxa"/>
            <w:shd w:val="clear" w:color="auto" w:fill="auto"/>
            <w:noWrap/>
            <w:vAlign w:val="center"/>
          </w:tcPr>
          <w:p w14:paraId="07F44B8C" w14:textId="77777777" w:rsidR="00DF7B5B" w:rsidRDefault="00000000">
            <w:pPr>
              <w:rPr>
                <w:bCs/>
                <w:sz w:val="20"/>
                <w:szCs w:val="20"/>
              </w:rPr>
            </w:pPr>
            <w:r>
              <w:rPr>
                <w:bCs/>
                <w:sz w:val="20"/>
                <w:szCs w:val="20"/>
              </w:rPr>
              <w:t>Broj zaposlenih</w:t>
            </w:r>
          </w:p>
        </w:tc>
        <w:tc>
          <w:tcPr>
            <w:tcW w:w="2516" w:type="dxa"/>
            <w:shd w:val="clear" w:color="auto" w:fill="auto"/>
            <w:vAlign w:val="center"/>
          </w:tcPr>
          <w:p w14:paraId="4202FB32" w14:textId="77777777" w:rsidR="00DF7B5B" w:rsidRDefault="00000000">
            <w:pPr>
              <w:rPr>
                <w:bCs/>
                <w:sz w:val="20"/>
                <w:szCs w:val="20"/>
              </w:rPr>
            </w:pPr>
            <w:r>
              <w:rPr>
                <w:bCs/>
                <w:sz w:val="20"/>
                <w:szCs w:val="20"/>
              </w:rPr>
              <w:t>Očuvanje kvalitetnog vatrogasnog kadra za izvršavanje poslova i aktivnosti vatrogasne djelatnosti.</w:t>
            </w:r>
          </w:p>
        </w:tc>
        <w:tc>
          <w:tcPr>
            <w:tcW w:w="992" w:type="dxa"/>
            <w:shd w:val="clear" w:color="auto" w:fill="auto"/>
            <w:vAlign w:val="center"/>
          </w:tcPr>
          <w:p w14:paraId="076B95FE" w14:textId="77777777" w:rsidR="00DF7B5B" w:rsidRDefault="00000000">
            <w:pPr>
              <w:jc w:val="center"/>
              <w:rPr>
                <w:bCs/>
                <w:sz w:val="20"/>
                <w:szCs w:val="20"/>
              </w:rPr>
            </w:pPr>
            <w:r>
              <w:rPr>
                <w:bCs/>
                <w:sz w:val="20"/>
                <w:szCs w:val="20"/>
              </w:rPr>
              <w:t>Broj</w:t>
            </w:r>
          </w:p>
        </w:tc>
        <w:tc>
          <w:tcPr>
            <w:tcW w:w="1134" w:type="dxa"/>
            <w:shd w:val="clear" w:color="auto" w:fill="auto"/>
            <w:vAlign w:val="center"/>
          </w:tcPr>
          <w:p w14:paraId="4565E92C" w14:textId="77777777" w:rsidR="00DF7B5B" w:rsidRDefault="00000000">
            <w:pPr>
              <w:jc w:val="center"/>
              <w:rPr>
                <w:bCs/>
                <w:sz w:val="20"/>
                <w:szCs w:val="20"/>
              </w:rPr>
            </w:pPr>
            <w:r>
              <w:rPr>
                <w:bCs/>
                <w:sz w:val="20"/>
                <w:szCs w:val="20"/>
              </w:rPr>
              <w:t>26</w:t>
            </w:r>
          </w:p>
        </w:tc>
        <w:tc>
          <w:tcPr>
            <w:tcW w:w="1134" w:type="dxa"/>
            <w:shd w:val="clear" w:color="auto" w:fill="auto"/>
            <w:noWrap/>
            <w:vAlign w:val="center"/>
          </w:tcPr>
          <w:p w14:paraId="71AF03CA" w14:textId="77777777" w:rsidR="00DF7B5B" w:rsidRDefault="00000000">
            <w:pPr>
              <w:jc w:val="center"/>
              <w:rPr>
                <w:rFonts w:eastAsia="Calibri"/>
                <w:sz w:val="20"/>
                <w:szCs w:val="20"/>
              </w:rPr>
            </w:pPr>
            <w:r>
              <w:rPr>
                <w:rFonts w:eastAsia="Calibri"/>
                <w:sz w:val="20"/>
                <w:szCs w:val="20"/>
              </w:rPr>
              <w:t>26</w:t>
            </w:r>
          </w:p>
        </w:tc>
        <w:tc>
          <w:tcPr>
            <w:tcW w:w="1276" w:type="dxa"/>
            <w:shd w:val="clear" w:color="auto" w:fill="auto"/>
            <w:noWrap/>
            <w:vAlign w:val="center"/>
          </w:tcPr>
          <w:p w14:paraId="62314F2C" w14:textId="77777777" w:rsidR="00DF7B5B" w:rsidRDefault="00000000">
            <w:pPr>
              <w:jc w:val="center"/>
              <w:rPr>
                <w:rFonts w:eastAsia="Calibri"/>
                <w:sz w:val="20"/>
                <w:szCs w:val="20"/>
              </w:rPr>
            </w:pPr>
            <w:r>
              <w:rPr>
                <w:rFonts w:eastAsia="Calibri"/>
                <w:sz w:val="20"/>
                <w:szCs w:val="20"/>
              </w:rPr>
              <w:t>26</w:t>
            </w:r>
          </w:p>
        </w:tc>
        <w:tc>
          <w:tcPr>
            <w:tcW w:w="1295" w:type="dxa"/>
            <w:shd w:val="clear" w:color="auto" w:fill="auto"/>
            <w:noWrap/>
            <w:vAlign w:val="center"/>
          </w:tcPr>
          <w:p w14:paraId="18B72F51" w14:textId="77777777" w:rsidR="00DF7B5B" w:rsidRDefault="00000000">
            <w:pPr>
              <w:jc w:val="center"/>
              <w:rPr>
                <w:rFonts w:eastAsia="Calibri"/>
                <w:sz w:val="20"/>
                <w:szCs w:val="20"/>
              </w:rPr>
            </w:pPr>
            <w:r>
              <w:rPr>
                <w:rFonts w:eastAsia="Calibri"/>
                <w:sz w:val="20"/>
                <w:szCs w:val="20"/>
              </w:rPr>
              <w:t>26</w:t>
            </w:r>
          </w:p>
        </w:tc>
      </w:tr>
      <w:tr w:rsidR="00DF7B5B" w14:paraId="722AA81B" w14:textId="77777777">
        <w:trPr>
          <w:trHeight w:val="312"/>
        </w:trPr>
        <w:tc>
          <w:tcPr>
            <w:tcW w:w="9937" w:type="dxa"/>
            <w:gridSpan w:val="7"/>
            <w:shd w:val="clear" w:color="auto" w:fill="F2F2F2"/>
            <w:vAlign w:val="center"/>
          </w:tcPr>
          <w:p w14:paraId="5ABF263C" w14:textId="77777777" w:rsidR="00DF7B5B" w:rsidRDefault="00000000">
            <w:pPr>
              <w:suppressLineNumbers/>
              <w:rPr>
                <w:b/>
                <w:bCs/>
                <w:sz w:val="20"/>
                <w:szCs w:val="20"/>
              </w:rPr>
            </w:pPr>
            <w:r>
              <w:rPr>
                <w:b/>
                <w:bCs/>
                <w:sz w:val="20"/>
                <w:szCs w:val="20"/>
              </w:rPr>
              <w:t xml:space="preserve">Naziv aktivnosti/projekta u Proračunu: </w:t>
            </w:r>
            <w:r>
              <w:rPr>
                <w:b/>
                <w:sz w:val="20"/>
                <w:szCs w:val="20"/>
              </w:rPr>
              <w:t>MATERIJALNI RASHODI</w:t>
            </w:r>
          </w:p>
        </w:tc>
      </w:tr>
      <w:tr w:rsidR="00DF7B5B" w14:paraId="789C0658" w14:textId="77777777">
        <w:trPr>
          <w:trHeight w:val="261"/>
        </w:trPr>
        <w:tc>
          <w:tcPr>
            <w:tcW w:w="6232" w:type="dxa"/>
            <w:gridSpan w:val="4"/>
            <w:vMerge w:val="restart"/>
            <w:shd w:val="clear" w:color="auto" w:fill="auto"/>
            <w:vAlign w:val="center"/>
          </w:tcPr>
          <w:p w14:paraId="69800B9E" w14:textId="77777777" w:rsidR="00DF7B5B" w:rsidRDefault="00000000">
            <w:pPr>
              <w:jc w:val="center"/>
              <w:rPr>
                <w:sz w:val="20"/>
                <w:szCs w:val="20"/>
              </w:rPr>
            </w:pPr>
            <w:r>
              <w:rPr>
                <w:sz w:val="20"/>
                <w:szCs w:val="20"/>
              </w:rPr>
              <w:t>Obrazloženje aktivnosti/projekta</w:t>
            </w:r>
          </w:p>
        </w:tc>
        <w:tc>
          <w:tcPr>
            <w:tcW w:w="3705" w:type="dxa"/>
            <w:gridSpan w:val="3"/>
            <w:shd w:val="clear" w:color="auto" w:fill="auto"/>
            <w:noWrap/>
            <w:vAlign w:val="center"/>
          </w:tcPr>
          <w:p w14:paraId="704A9752" w14:textId="77777777" w:rsidR="00DF7B5B" w:rsidRDefault="00000000">
            <w:pPr>
              <w:jc w:val="center"/>
              <w:rPr>
                <w:sz w:val="20"/>
                <w:szCs w:val="20"/>
              </w:rPr>
            </w:pPr>
            <w:r>
              <w:rPr>
                <w:sz w:val="20"/>
                <w:szCs w:val="20"/>
              </w:rPr>
              <w:t>Planirana sredstva</w:t>
            </w:r>
          </w:p>
        </w:tc>
      </w:tr>
      <w:tr w:rsidR="00DF7B5B" w14:paraId="38E5D65C" w14:textId="77777777">
        <w:trPr>
          <w:trHeight w:val="215"/>
        </w:trPr>
        <w:tc>
          <w:tcPr>
            <w:tcW w:w="6232" w:type="dxa"/>
            <w:gridSpan w:val="4"/>
            <w:vMerge/>
            <w:vAlign w:val="center"/>
          </w:tcPr>
          <w:p w14:paraId="14AC4AFE" w14:textId="77777777" w:rsidR="00DF7B5B" w:rsidRDefault="00DF7B5B">
            <w:pPr>
              <w:rPr>
                <w:sz w:val="20"/>
                <w:szCs w:val="20"/>
              </w:rPr>
            </w:pPr>
          </w:p>
        </w:tc>
        <w:tc>
          <w:tcPr>
            <w:tcW w:w="1134" w:type="dxa"/>
            <w:shd w:val="clear" w:color="auto" w:fill="auto"/>
            <w:noWrap/>
            <w:vAlign w:val="bottom"/>
          </w:tcPr>
          <w:p w14:paraId="30C5B0D7" w14:textId="77777777" w:rsidR="00DF7B5B" w:rsidRDefault="00000000">
            <w:pPr>
              <w:jc w:val="center"/>
              <w:rPr>
                <w:sz w:val="20"/>
                <w:szCs w:val="20"/>
              </w:rPr>
            </w:pPr>
            <w:r>
              <w:rPr>
                <w:sz w:val="20"/>
                <w:szCs w:val="20"/>
              </w:rPr>
              <w:t>2024.</w:t>
            </w:r>
          </w:p>
        </w:tc>
        <w:tc>
          <w:tcPr>
            <w:tcW w:w="1276" w:type="dxa"/>
            <w:shd w:val="clear" w:color="auto" w:fill="auto"/>
            <w:noWrap/>
            <w:vAlign w:val="bottom"/>
          </w:tcPr>
          <w:p w14:paraId="2B1DF549" w14:textId="77777777" w:rsidR="00DF7B5B" w:rsidRDefault="00000000">
            <w:pPr>
              <w:jc w:val="center"/>
              <w:rPr>
                <w:sz w:val="20"/>
                <w:szCs w:val="20"/>
              </w:rPr>
            </w:pPr>
            <w:r>
              <w:rPr>
                <w:sz w:val="20"/>
                <w:szCs w:val="20"/>
              </w:rPr>
              <w:t>2025.</w:t>
            </w:r>
          </w:p>
        </w:tc>
        <w:tc>
          <w:tcPr>
            <w:tcW w:w="1295" w:type="dxa"/>
            <w:shd w:val="clear" w:color="auto" w:fill="auto"/>
            <w:noWrap/>
            <w:vAlign w:val="bottom"/>
          </w:tcPr>
          <w:p w14:paraId="3757A871" w14:textId="77777777" w:rsidR="00DF7B5B" w:rsidRDefault="00000000">
            <w:pPr>
              <w:jc w:val="center"/>
              <w:rPr>
                <w:sz w:val="20"/>
                <w:szCs w:val="20"/>
              </w:rPr>
            </w:pPr>
            <w:r>
              <w:rPr>
                <w:sz w:val="20"/>
                <w:szCs w:val="20"/>
              </w:rPr>
              <w:t>2026.</w:t>
            </w:r>
          </w:p>
        </w:tc>
      </w:tr>
      <w:tr w:rsidR="00DF7B5B" w14:paraId="553C459D" w14:textId="77777777">
        <w:trPr>
          <w:trHeight w:val="914"/>
        </w:trPr>
        <w:tc>
          <w:tcPr>
            <w:tcW w:w="6232" w:type="dxa"/>
            <w:gridSpan w:val="4"/>
            <w:shd w:val="clear" w:color="auto" w:fill="auto"/>
            <w:noWrap/>
            <w:vAlign w:val="center"/>
          </w:tcPr>
          <w:p w14:paraId="645D630F" w14:textId="77777777" w:rsidR="00DF7B5B" w:rsidRDefault="00000000">
            <w:pPr>
              <w:jc w:val="both"/>
              <w:rPr>
                <w:bCs/>
                <w:sz w:val="20"/>
                <w:szCs w:val="20"/>
              </w:rPr>
            </w:pPr>
            <w:r>
              <w:rPr>
                <w:bCs/>
                <w:sz w:val="20"/>
                <w:szCs w:val="20"/>
              </w:rPr>
              <w:t>U aktivnosti se planiraju rashodi za redovno poslovanje Javne vatrogasne postrojbe, a obuhvaćaju naknade troškova zaposlenima, rashode za materijal i energiju, rashode za usluge, ostale nespomenute rashode poslovanja i financijske rashode.</w:t>
            </w:r>
          </w:p>
        </w:tc>
        <w:tc>
          <w:tcPr>
            <w:tcW w:w="1134" w:type="dxa"/>
            <w:shd w:val="clear" w:color="auto" w:fill="auto"/>
            <w:noWrap/>
            <w:vAlign w:val="center"/>
          </w:tcPr>
          <w:p w14:paraId="6DAE15E8" w14:textId="77777777" w:rsidR="00DF7B5B" w:rsidRDefault="00DF7B5B">
            <w:pPr>
              <w:jc w:val="right"/>
              <w:rPr>
                <w:b/>
                <w:sz w:val="20"/>
                <w:szCs w:val="20"/>
              </w:rPr>
            </w:pPr>
          </w:p>
          <w:p w14:paraId="4A8B4EDB" w14:textId="77777777" w:rsidR="00DF7B5B" w:rsidRDefault="00DF7B5B">
            <w:pPr>
              <w:jc w:val="right"/>
              <w:rPr>
                <w:b/>
                <w:sz w:val="20"/>
                <w:szCs w:val="20"/>
              </w:rPr>
            </w:pPr>
          </w:p>
          <w:p w14:paraId="5D5CFED9" w14:textId="77777777" w:rsidR="00DF7B5B" w:rsidRDefault="00000000">
            <w:pPr>
              <w:jc w:val="right"/>
              <w:rPr>
                <w:b/>
                <w:sz w:val="20"/>
                <w:szCs w:val="20"/>
              </w:rPr>
            </w:pPr>
            <w:r>
              <w:rPr>
                <w:b/>
                <w:sz w:val="20"/>
                <w:szCs w:val="20"/>
              </w:rPr>
              <w:t>231.697</w:t>
            </w:r>
          </w:p>
          <w:p w14:paraId="53A9BC1F" w14:textId="77777777" w:rsidR="00DF7B5B" w:rsidRDefault="00DF7B5B">
            <w:pPr>
              <w:jc w:val="right"/>
              <w:rPr>
                <w:b/>
                <w:sz w:val="20"/>
                <w:szCs w:val="20"/>
              </w:rPr>
            </w:pPr>
          </w:p>
          <w:p w14:paraId="31A2E3AE" w14:textId="77777777" w:rsidR="00DF7B5B" w:rsidRDefault="00DF7B5B">
            <w:pPr>
              <w:jc w:val="right"/>
              <w:rPr>
                <w:b/>
                <w:sz w:val="20"/>
                <w:szCs w:val="20"/>
              </w:rPr>
            </w:pPr>
          </w:p>
        </w:tc>
        <w:tc>
          <w:tcPr>
            <w:tcW w:w="1276" w:type="dxa"/>
            <w:shd w:val="clear" w:color="auto" w:fill="auto"/>
            <w:noWrap/>
            <w:vAlign w:val="center"/>
          </w:tcPr>
          <w:p w14:paraId="51054BB3" w14:textId="77777777" w:rsidR="00DF7B5B" w:rsidRDefault="00000000">
            <w:pPr>
              <w:jc w:val="right"/>
              <w:rPr>
                <w:b/>
                <w:sz w:val="20"/>
                <w:szCs w:val="20"/>
              </w:rPr>
            </w:pPr>
            <w:r>
              <w:rPr>
                <w:b/>
                <w:sz w:val="20"/>
                <w:szCs w:val="20"/>
              </w:rPr>
              <w:t>231.044</w:t>
            </w:r>
          </w:p>
        </w:tc>
        <w:tc>
          <w:tcPr>
            <w:tcW w:w="1295" w:type="dxa"/>
            <w:shd w:val="clear" w:color="auto" w:fill="auto"/>
            <w:noWrap/>
            <w:vAlign w:val="center"/>
          </w:tcPr>
          <w:p w14:paraId="5335E26D" w14:textId="77777777" w:rsidR="00DF7B5B" w:rsidRDefault="00000000">
            <w:pPr>
              <w:jc w:val="right"/>
              <w:rPr>
                <w:b/>
                <w:sz w:val="20"/>
                <w:szCs w:val="20"/>
              </w:rPr>
            </w:pPr>
            <w:r>
              <w:rPr>
                <w:b/>
                <w:sz w:val="20"/>
                <w:szCs w:val="20"/>
              </w:rPr>
              <w:t>236.875</w:t>
            </w:r>
          </w:p>
        </w:tc>
      </w:tr>
      <w:tr w:rsidR="00DF7B5B" w14:paraId="46EACD63" w14:textId="77777777">
        <w:trPr>
          <w:trHeight w:val="312"/>
        </w:trPr>
        <w:tc>
          <w:tcPr>
            <w:tcW w:w="9937" w:type="dxa"/>
            <w:gridSpan w:val="7"/>
            <w:shd w:val="clear" w:color="auto" w:fill="F2F2F2"/>
            <w:vAlign w:val="center"/>
          </w:tcPr>
          <w:p w14:paraId="044785F5" w14:textId="77777777" w:rsidR="00DF7B5B" w:rsidRDefault="00000000">
            <w:pPr>
              <w:rPr>
                <w:b/>
                <w:bCs/>
                <w:sz w:val="20"/>
                <w:szCs w:val="20"/>
              </w:rPr>
            </w:pPr>
            <w:r>
              <w:rPr>
                <w:b/>
                <w:bCs/>
                <w:sz w:val="20"/>
                <w:szCs w:val="20"/>
              </w:rPr>
              <w:lastRenderedPageBreak/>
              <w:t xml:space="preserve">Naziv aktivnosti/projekta u Proračunu: </w:t>
            </w:r>
            <w:r>
              <w:rPr>
                <w:b/>
                <w:sz w:val="20"/>
                <w:szCs w:val="20"/>
              </w:rPr>
              <w:t>NABAVA OPREME I VOZILA</w:t>
            </w:r>
          </w:p>
        </w:tc>
      </w:tr>
      <w:tr w:rsidR="00DF7B5B" w14:paraId="79DADD76" w14:textId="77777777">
        <w:trPr>
          <w:trHeight w:val="261"/>
        </w:trPr>
        <w:tc>
          <w:tcPr>
            <w:tcW w:w="6232" w:type="dxa"/>
            <w:gridSpan w:val="4"/>
            <w:vMerge w:val="restart"/>
            <w:shd w:val="clear" w:color="auto" w:fill="auto"/>
            <w:vAlign w:val="center"/>
          </w:tcPr>
          <w:p w14:paraId="38D63073" w14:textId="77777777" w:rsidR="00DF7B5B" w:rsidRDefault="00000000">
            <w:pPr>
              <w:jc w:val="center"/>
              <w:rPr>
                <w:sz w:val="20"/>
                <w:szCs w:val="20"/>
              </w:rPr>
            </w:pPr>
            <w:r>
              <w:rPr>
                <w:sz w:val="20"/>
                <w:szCs w:val="20"/>
              </w:rPr>
              <w:t>Obrazloženje aktivnosti/projekta</w:t>
            </w:r>
          </w:p>
        </w:tc>
        <w:tc>
          <w:tcPr>
            <w:tcW w:w="3705" w:type="dxa"/>
            <w:gridSpan w:val="3"/>
            <w:shd w:val="clear" w:color="auto" w:fill="auto"/>
            <w:noWrap/>
            <w:vAlign w:val="center"/>
          </w:tcPr>
          <w:p w14:paraId="0C0D6B52" w14:textId="77777777" w:rsidR="00DF7B5B" w:rsidRDefault="00000000">
            <w:pPr>
              <w:jc w:val="center"/>
              <w:rPr>
                <w:sz w:val="20"/>
                <w:szCs w:val="20"/>
              </w:rPr>
            </w:pPr>
            <w:r>
              <w:rPr>
                <w:sz w:val="20"/>
                <w:szCs w:val="20"/>
              </w:rPr>
              <w:t>Planirana sredstva</w:t>
            </w:r>
          </w:p>
        </w:tc>
      </w:tr>
      <w:tr w:rsidR="00DF7B5B" w14:paraId="6DF09EDD" w14:textId="77777777">
        <w:trPr>
          <w:trHeight w:val="215"/>
        </w:trPr>
        <w:tc>
          <w:tcPr>
            <w:tcW w:w="6232" w:type="dxa"/>
            <w:gridSpan w:val="4"/>
            <w:vMerge/>
            <w:vAlign w:val="center"/>
          </w:tcPr>
          <w:p w14:paraId="5C6EEC4E" w14:textId="77777777" w:rsidR="00DF7B5B" w:rsidRDefault="00DF7B5B">
            <w:pPr>
              <w:rPr>
                <w:sz w:val="20"/>
                <w:szCs w:val="20"/>
              </w:rPr>
            </w:pPr>
          </w:p>
        </w:tc>
        <w:tc>
          <w:tcPr>
            <w:tcW w:w="1134" w:type="dxa"/>
            <w:shd w:val="clear" w:color="auto" w:fill="auto"/>
            <w:noWrap/>
            <w:vAlign w:val="bottom"/>
          </w:tcPr>
          <w:p w14:paraId="266C50AB" w14:textId="77777777" w:rsidR="00DF7B5B" w:rsidRDefault="00000000">
            <w:pPr>
              <w:jc w:val="center"/>
              <w:rPr>
                <w:sz w:val="20"/>
                <w:szCs w:val="20"/>
              </w:rPr>
            </w:pPr>
            <w:r>
              <w:rPr>
                <w:sz w:val="20"/>
                <w:szCs w:val="20"/>
              </w:rPr>
              <w:t>2024.</w:t>
            </w:r>
          </w:p>
        </w:tc>
        <w:tc>
          <w:tcPr>
            <w:tcW w:w="1276" w:type="dxa"/>
            <w:shd w:val="clear" w:color="auto" w:fill="auto"/>
            <w:noWrap/>
            <w:vAlign w:val="bottom"/>
          </w:tcPr>
          <w:p w14:paraId="245F6BEA" w14:textId="77777777" w:rsidR="00DF7B5B" w:rsidRDefault="00000000">
            <w:pPr>
              <w:jc w:val="center"/>
              <w:rPr>
                <w:sz w:val="20"/>
                <w:szCs w:val="20"/>
              </w:rPr>
            </w:pPr>
            <w:r>
              <w:rPr>
                <w:sz w:val="20"/>
                <w:szCs w:val="20"/>
              </w:rPr>
              <w:t>2025.</w:t>
            </w:r>
          </w:p>
        </w:tc>
        <w:tc>
          <w:tcPr>
            <w:tcW w:w="1295" w:type="dxa"/>
            <w:shd w:val="clear" w:color="auto" w:fill="auto"/>
            <w:noWrap/>
            <w:vAlign w:val="bottom"/>
          </w:tcPr>
          <w:p w14:paraId="7BBBC7E5" w14:textId="77777777" w:rsidR="00DF7B5B" w:rsidRDefault="00000000">
            <w:pPr>
              <w:jc w:val="center"/>
              <w:rPr>
                <w:sz w:val="20"/>
                <w:szCs w:val="20"/>
              </w:rPr>
            </w:pPr>
            <w:r>
              <w:rPr>
                <w:sz w:val="20"/>
                <w:szCs w:val="20"/>
              </w:rPr>
              <w:t>2026.</w:t>
            </w:r>
          </w:p>
        </w:tc>
      </w:tr>
      <w:tr w:rsidR="00DF7B5B" w14:paraId="2217DAA0" w14:textId="77777777">
        <w:trPr>
          <w:trHeight w:val="982"/>
        </w:trPr>
        <w:tc>
          <w:tcPr>
            <w:tcW w:w="6232" w:type="dxa"/>
            <w:gridSpan w:val="4"/>
            <w:shd w:val="clear" w:color="auto" w:fill="auto"/>
            <w:noWrap/>
            <w:vAlign w:val="center"/>
          </w:tcPr>
          <w:p w14:paraId="430B7C18" w14:textId="67CC9D13" w:rsidR="00DF7B5B" w:rsidRDefault="00000000" w:rsidP="007F0C3A">
            <w:pPr>
              <w:rPr>
                <w:sz w:val="20"/>
                <w:szCs w:val="20"/>
              </w:rPr>
            </w:pPr>
            <w:r w:rsidRPr="007F0C3A">
              <w:rPr>
                <w:sz w:val="20"/>
                <w:szCs w:val="20"/>
              </w:rPr>
              <w:t>U aktivnosti se planiraju sredstva za nabavu opreme za obavljanje vatrogasne djelatnosti u okviru JVP-a. Pravilnikom o minimumu tehničke opreme i sredstava vatrogasnih postrojbi (NN 43/95 i 91/02) propisan je najmanji broj i vrste vatrogasnih vozila, kao i minimalna opremljenost vatrogasnih vozila koju mora posjedovati vatrogasna postrojba VRSTA „2“. U 2024. godini planirana je nabava vatrogasne opreme u iznosu od 55.008 €, od toga za nabavu opreme za održavanje i zaštitu, , oprema za spašavanje iz dubina i visina, pumpe, agregati i ostala potrebna vatrogasne oprema, uredska oprema i namještaj, komunikacijska oprema (radio stanice, oprema za VOC) te oprema za ostale namjene (spašavanje iz ruševina). Vatrogasna vozila kojima mora biti opremljena Javna vatrogasna postrojba Grada Samobora prema Pravilniku o minimumu tehničke opreme i sredstava vatrogasnih postrojbi (NN 43/95 i 91/02 )</w:t>
            </w:r>
            <w:r w:rsidR="007F0C3A" w:rsidRPr="007F0C3A">
              <w:rPr>
                <w:sz w:val="20"/>
                <w:szCs w:val="20"/>
              </w:rPr>
              <w:t xml:space="preserve">,  </w:t>
            </w:r>
            <w:r w:rsidR="007F0C3A" w:rsidRPr="007F0C3A">
              <w:rPr>
                <w:sz w:val="20"/>
                <w:szCs w:val="20"/>
              </w:rPr>
              <w:t>Procjen</w:t>
            </w:r>
            <w:r w:rsidR="007F0C3A">
              <w:rPr>
                <w:sz w:val="20"/>
                <w:szCs w:val="20"/>
              </w:rPr>
              <w:t>i</w:t>
            </w:r>
            <w:r w:rsidR="007F0C3A" w:rsidRPr="007F0C3A">
              <w:rPr>
                <w:sz w:val="20"/>
                <w:szCs w:val="20"/>
              </w:rPr>
              <w:t xml:space="preserve"> ugroženosti od požara i tehnološke eksplozije na području grada Samobora (Službene vijesti grada Samobora 9/14</w:t>
            </w:r>
            <w:r w:rsidR="007F0C3A">
              <w:rPr>
                <w:sz w:val="20"/>
                <w:szCs w:val="20"/>
              </w:rPr>
              <w:t xml:space="preserve"> ) i  </w:t>
            </w:r>
            <w:r w:rsidR="007F0C3A">
              <w:rPr>
                <w:sz w:val="20"/>
                <w:szCs w:val="20"/>
              </w:rPr>
              <w:t>Plan</w:t>
            </w:r>
            <w:r w:rsidR="007F0C3A">
              <w:rPr>
                <w:sz w:val="20"/>
                <w:szCs w:val="20"/>
              </w:rPr>
              <w:t>a</w:t>
            </w:r>
            <w:r w:rsidR="007F0C3A">
              <w:rPr>
                <w:sz w:val="20"/>
                <w:szCs w:val="20"/>
              </w:rPr>
              <w:t xml:space="preserve"> zaštite od požara </w:t>
            </w:r>
            <w:r w:rsidR="007F0C3A">
              <w:rPr>
                <w:sz w:val="20"/>
                <w:szCs w:val="20"/>
              </w:rPr>
              <w:t>G</w:t>
            </w:r>
            <w:r w:rsidR="007F0C3A">
              <w:rPr>
                <w:sz w:val="20"/>
                <w:szCs w:val="20"/>
              </w:rPr>
              <w:t>rada Samobora (Službene vijesti grada Samobora 2/15)</w:t>
            </w:r>
            <w:r>
              <w:rPr>
                <w:sz w:val="20"/>
                <w:szCs w:val="20"/>
              </w:rPr>
              <w:t xml:space="preserve"> nabavljat će se iz Proračuna Grada Samobora.</w:t>
            </w:r>
          </w:p>
        </w:tc>
        <w:tc>
          <w:tcPr>
            <w:tcW w:w="1134" w:type="dxa"/>
            <w:shd w:val="clear" w:color="auto" w:fill="auto"/>
            <w:noWrap/>
            <w:vAlign w:val="center"/>
          </w:tcPr>
          <w:p w14:paraId="2AA48FA5" w14:textId="77777777" w:rsidR="00DF7B5B" w:rsidRDefault="00000000">
            <w:pPr>
              <w:jc w:val="right"/>
              <w:rPr>
                <w:b/>
                <w:sz w:val="20"/>
                <w:szCs w:val="20"/>
              </w:rPr>
            </w:pPr>
            <w:r>
              <w:rPr>
                <w:b/>
                <w:sz w:val="20"/>
                <w:szCs w:val="20"/>
              </w:rPr>
              <w:t>55.008</w:t>
            </w:r>
          </w:p>
        </w:tc>
        <w:tc>
          <w:tcPr>
            <w:tcW w:w="1276" w:type="dxa"/>
            <w:shd w:val="clear" w:color="auto" w:fill="auto"/>
            <w:noWrap/>
            <w:vAlign w:val="center"/>
          </w:tcPr>
          <w:p w14:paraId="06276823" w14:textId="77777777" w:rsidR="00DF7B5B" w:rsidRDefault="00000000">
            <w:pPr>
              <w:jc w:val="right"/>
              <w:rPr>
                <w:b/>
                <w:sz w:val="20"/>
                <w:szCs w:val="20"/>
              </w:rPr>
            </w:pPr>
            <w:r>
              <w:rPr>
                <w:b/>
                <w:sz w:val="20"/>
                <w:szCs w:val="20"/>
              </w:rPr>
              <w:t>54.508</w:t>
            </w:r>
          </w:p>
        </w:tc>
        <w:tc>
          <w:tcPr>
            <w:tcW w:w="1295" w:type="dxa"/>
            <w:shd w:val="clear" w:color="auto" w:fill="auto"/>
            <w:noWrap/>
            <w:vAlign w:val="center"/>
          </w:tcPr>
          <w:p w14:paraId="30D2CD39" w14:textId="77777777" w:rsidR="00DF7B5B" w:rsidRDefault="00000000">
            <w:pPr>
              <w:jc w:val="right"/>
              <w:rPr>
                <w:b/>
                <w:sz w:val="20"/>
                <w:szCs w:val="20"/>
              </w:rPr>
            </w:pPr>
            <w:r>
              <w:rPr>
                <w:b/>
                <w:sz w:val="20"/>
                <w:szCs w:val="20"/>
              </w:rPr>
              <w:t>54.508</w:t>
            </w:r>
          </w:p>
        </w:tc>
      </w:tr>
    </w:tbl>
    <w:p w14:paraId="082AFA94" w14:textId="77777777" w:rsidR="00DF7B5B" w:rsidRDefault="00DF7B5B">
      <w:pPr>
        <w:rPr>
          <w:b/>
          <w:u w:val="single"/>
        </w:rPr>
      </w:pPr>
    </w:p>
    <w:p w14:paraId="73DBBA0F" w14:textId="77777777" w:rsidR="00DF7B5B" w:rsidRDefault="00DF7B5B"/>
    <w:sectPr w:rsidR="00DF7B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4CF6" w14:textId="77777777" w:rsidR="007C4450" w:rsidRDefault="007C4450">
      <w:r>
        <w:separator/>
      </w:r>
    </w:p>
  </w:endnote>
  <w:endnote w:type="continuationSeparator" w:id="0">
    <w:p w14:paraId="2924ADDD" w14:textId="77777777" w:rsidR="007C4450" w:rsidRDefault="007C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7891" w14:textId="77777777" w:rsidR="007C4450" w:rsidRDefault="007C4450">
      <w:r>
        <w:separator/>
      </w:r>
    </w:p>
  </w:footnote>
  <w:footnote w:type="continuationSeparator" w:id="0">
    <w:p w14:paraId="5F86A235" w14:textId="77777777" w:rsidR="007C4450" w:rsidRDefault="007C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87096"/>
    <w:multiLevelType w:val="multilevel"/>
    <w:tmpl w:val="79F8709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245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F3"/>
    <w:rsid w:val="00172CF3"/>
    <w:rsid w:val="006706B1"/>
    <w:rsid w:val="007C4450"/>
    <w:rsid w:val="007F0C3A"/>
    <w:rsid w:val="00A8269D"/>
    <w:rsid w:val="00AC6C95"/>
    <w:rsid w:val="00CC6E85"/>
    <w:rsid w:val="00DF7B5B"/>
    <w:rsid w:val="00F7445F"/>
    <w:rsid w:val="03B941BE"/>
    <w:rsid w:val="0E0449AC"/>
    <w:rsid w:val="15961DF8"/>
    <w:rsid w:val="15D76BC7"/>
    <w:rsid w:val="17580D19"/>
    <w:rsid w:val="1D5D132D"/>
    <w:rsid w:val="2A7821F7"/>
    <w:rsid w:val="326E5F24"/>
    <w:rsid w:val="59573D6B"/>
    <w:rsid w:val="5E2B181A"/>
    <w:rsid w:val="5F2B067A"/>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C172"/>
  <w15:docId w15:val="{C53FBC67-688D-49F1-8542-BC0F5143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pPr>
      <w:ind w:left="720"/>
      <w:contextualSpacing/>
    </w:pPr>
  </w:style>
  <w:style w:type="character" w:customStyle="1" w:styleId="OdlomakpopisaChar">
    <w:name w:val="Odlomak popisa Char"/>
    <w:basedOn w:val="Zadanifontodlomka"/>
    <w:link w:val="Odlomakpopisa"/>
    <w:uiPriority w:val="34"/>
    <w:qFormat/>
    <w:locked/>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614</Words>
  <Characters>3500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 Firm</dc:creator>
  <cp:lastModifiedBy>mladen.zitkovic1@zg.t-com.hr</cp:lastModifiedBy>
  <cp:revision>4</cp:revision>
  <cp:lastPrinted>2023-11-03T00:25:00Z</cp:lastPrinted>
  <dcterms:created xsi:type="dcterms:W3CDTF">2023-10-12T11:33:00Z</dcterms:created>
  <dcterms:modified xsi:type="dcterms:W3CDTF">2023-12-13T18:25:00Z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E8BA9C3E3BDD45EFA21403141FAE934C_13</vt:lpwstr>
  </property>
</Properties>
</file>